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Instructions and Guidance for Kuali Research/Workday Budget by Object Class (10/17/24)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Workday (WD) allows for sponsored award budget information to be included in the system.  Budgets will be entered into WD by ORA, shortly after a new award account is set up in Kuali Research (KR). The Kuali Research/Workday Budget by Object Class will be required at award set up.  It can be incorporated into your departmental budget template, uploaded in KR as a separate proposal attachment, or sent to ORA at just-in-time of award set up.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ORA Post Award Management Form</w:t>
      </w:r>
      <w:r w:rsidDel="00000000" w:rsidR="00000000" w:rsidRPr="00000000">
        <w:rPr>
          <w:sz w:val="28"/>
          <w:szCs w:val="28"/>
          <w:rtl w:val="0"/>
        </w:rPr>
        <w:t xml:space="preserve"> – under construction (link to be added when form is completed)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form should be used for: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requests from ORA to the PI/Department for a new KR/WD Budget by Object Class, when a new award is received by ORA, or Requests by the PI or Department to: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add related/child accounts under an existing KR parent account/WD Cost Center account, 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transfer awarded dollars from one account to a related/child account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change/correction to the budget entered into WD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FAQ’s: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If this template was included in KR at the proposal stage and the funded amount differs from the proposal amount, ORA will reach out at the award stage for a revised budget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Child account requests must also be accompanied by a budget with the categories outlined in this budget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ORA will upload the final budget in the Comments, Notes, and Attachments tab in the Award Module in KR, shortly after the award is established, a change is received to add or change the amounts of child/related accounts, or a formal rebudget approved by the sponsor is approved.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AANAs typically do not require a full detailed budget, as there is no formal award yet.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